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71" w:rsidRDefault="003B5F71" w:rsidP="003B5F71">
      <w:pPr>
        <w:pStyle w:val="Standard"/>
        <w:rPr>
          <w:rFonts w:ascii="Verdana" w:hAnsi="Verdana"/>
          <w:lang w:val="es-ES"/>
        </w:rPr>
      </w:pP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bookmarkStart w:id="0" w:name="_GoBack"/>
      <w:bookmarkEnd w:id="0"/>
      <w:r w:rsidRPr="003B5F71">
        <w:rPr>
          <w:rFonts w:ascii="Verdana" w:hAnsi="Verdana"/>
          <w:lang w:val="es-ES"/>
        </w:rPr>
        <w:t>La entidad no realiza auditoría de cuentas y de fiscalización por los órganos de control externo ya que según se especifica en el artículo 263 del Real Decreto Legislativo 1/2010, de 2 de julio, por el que se aprueba el texto refundido de la Ley de Sociedades de Capital,</w:t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Artículo 263. Auditor de cuentas.</w:t>
      </w:r>
    </w:p>
    <w:p w:rsidR="003B5F71" w:rsidRPr="003B5F71" w:rsidRDefault="003B5F71" w:rsidP="003B5F71">
      <w:pPr>
        <w:pStyle w:val="Standard"/>
        <w:tabs>
          <w:tab w:val="left" w:pos="2640"/>
        </w:tabs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ab/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1. Las cuentas anuales y, en su caso, el informe de gestión deberán ser revisados por auditor de cuentas.</w:t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2. Se exceptúa de esta obligación a las sociedades que durante dos ejercicios consecutivos reúnan, a la fecha de cierre de cada uno de ellos, al menos dos de las circunstancias siguientes:</w:t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a) Que el total de las partidas del activo no supere los dos millones ochocientos cincuenta mil euros.</w:t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b) Que el importe neto de su cifra anual de negocios no supere los cinco millones setecientos mil euros.</w:t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c) Que el número medio de trabajadores empleados durante el ejercicio no sea superior a cincuenta.</w:t>
      </w: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</w:p>
    <w:p w:rsidR="003B5F71" w:rsidRPr="003B5F71" w:rsidRDefault="003B5F71" w:rsidP="003B5F71">
      <w:pPr>
        <w:pStyle w:val="Standard"/>
        <w:rPr>
          <w:rFonts w:ascii="Verdana" w:hAnsi="Verdana"/>
          <w:lang w:val="es-ES"/>
        </w:rPr>
      </w:pPr>
      <w:r w:rsidRPr="003B5F71">
        <w:rPr>
          <w:rFonts w:ascii="Verdana" w:hAnsi="Verdana"/>
          <w:lang w:val="es-ES"/>
        </w:rPr>
        <w:t>Nuestra entidad no reúne ninguna de las circunstancias reflejadas en los apartados anteriores.</w:t>
      </w:r>
    </w:p>
    <w:p w:rsidR="00A27E09" w:rsidRPr="003B5F71" w:rsidRDefault="00A27E09">
      <w:pPr>
        <w:rPr>
          <w:rFonts w:ascii="Verdana" w:hAnsi="Verdana"/>
        </w:rPr>
      </w:pPr>
    </w:p>
    <w:sectPr w:rsidR="00A27E09" w:rsidRPr="003B5F7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C"/>
    <w:rsid w:val="003B5F71"/>
    <w:rsid w:val="005770FC"/>
    <w:rsid w:val="00A27E09"/>
    <w:rsid w:val="00B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2EC4-8AFD-422E-82DC-9B6ADEC8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B5F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2022-07-13T14:36:00Z</dcterms:created>
  <dcterms:modified xsi:type="dcterms:W3CDTF">2022-07-13T14:37:00Z</dcterms:modified>
</cp:coreProperties>
</file>