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A0799" w14:textId="47AB43B7" w:rsidR="00A7118C" w:rsidRDefault="00552ACD">
      <w:pPr>
        <w:rPr>
          <w:rFonts w:ascii="Tahoma" w:hAnsi="Tahoma" w:cs="Tahoma"/>
          <w:color w:val="222222"/>
          <w:shd w:val="clear" w:color="auto" w:fill="FFFFFF"/>
        </w:rPr>
      </w:pPr>
      <w:r>
        <w:rPr>
          <w:rFonts w:ascii="Tahoma" w:hAnsi="Tahoma" w:cs="Tahoma"/>
          <w:color w:val="222222"/>
          <w:shd w:val="clear" w:color="auto" w:fill="FFFFFF"/>
        </w:rPr>
        <w:t>La entidad no posee ningún canal interno de información según se especifica en el artículo 9 de la Ley 2/2023, de 2 de febrero, por el que se aprueba materia reguladora de la protección de las personas que informen sobre infracciones normativas y de lucha contra la corrupción porque tal y como especifica el artículo 10 "Entidades obligadas del sector privado" no se cumplen los requisitos que en él se establece.</w:t>
      </w:r>
    </w:p>
    <w:p w14:paraId="3D4CFB9C" w14:textId="77777777" w:rsidR="00552ACD" w:rsidRDefault="00552ACD">
      <w:pPr>
        <w:rPr>
          <w:rFonts w:ascii="Tahoma" w:hAnsi="Tahoma" w:cs="Tahoma"/>
          <w:color w:val="222222"/>
          <w:shd w:val="clear" w:color="auto" w:fill="FFFFFF"/>
        </w:rPr>
      </w:pPr>
    </w:p>
    <w:p w14:paraId="1A6D0E12" w14:textId="77777777" w:rsidR="00552ACD" w:rsidRPr="00552ACD" w:rsidRDefault="00552ACD">
      <w:pPr>
        <w:rPr>
          <w:b/>
          <w:bCs/>
        </w:rPr>
      </w:pPr>
      <w:r w:rsidRPr="00552ACD">
        <w:rPr>
          <w:b/>
          <w:bCs/>
        </w:rPr>
        <w:t xml:space="preserve">Artículo 9. Procedimiento de gestión de informaciones. </w:t>
      </w:r>
    </w:p>
    <w:p w14:paraId="151E2753" w14:textId="11AD909D" w:rsidR="00552ACD" w:rsidRDefault="00552ACD">
      <w:r>
        <w:t xml:space="preserve">1. El órgano de administración u órgano de gobierno de cada entidad u organismo obligado por esta ley aprobará el procedimiento de gestión de informaciones. El </w:t>
      </w:r>
      <w:r>
        <w:t>responsable</w:t>
      </w:r>
      <w:r>
        <w:t xml:space="preserve"> del Sistema responderá de su tramitación diligente.</w:t>
      </w:r>
    </w:p>
    <w:p w14:paraId="3C674699" w14:textId="77777777" w:rsidR="00552ACD" w:rsidRDefault="00552ACD">
      <w:r>
        <w:t xml:space="preserve">2. El procedimiento establecerá las previsiones necesarias para que el Sistema interno de información y los canales internos de información existentes cumplan con los requisitos establecidos en esta ley. En particular, el procedimiento responderá al contenido mínimo y principios siguientes: </w:t>
      </w:r>
    </w:p>
    <w:p w14:paraId="28C6EBCF" w14:textId="77777777" w:rsidR="00552ACD" w:rsidRDefault="00552ACD">
      <w:r>
        <w:t xml:space="preserve">a) Identificación del canal o canales internos de información a los que se asocian. </w:t>
      </w:r>
    </w:p>
    <w:p w14:paraId="30952504" w14:textId="77777777" w:rsidR="00552ACD" w:rsidRDefault="00552ACD">
      <w:r>
        <w:t>b) Inclusión de información clara y accesible sobre los canales externos de información ante las autoridades competentes y, en su caso, ante las instituciones, órganos u organismos de la Unión Europea.</w:t>
      </w:r>
    </w:p>
    <w:p w14:paraId="46E00C4D" w14:textId="77777777" w:rsidR="00552ACD" w:rsidRDefault="00552ACD">
      <w:r>
        <w:t xml:space="preserve"> c) Envío de acuse de recibo de la comunicación al informante, en el plazo de siete días naturales siguientes a su recepción, salvo que ello pueda poner en peligro la confidencialidad de la comunicación. </w:t>
      </w:r>
    </w:p>
    <w:p w14:paraId="1696082F" w14:textId="77777777" w:rsidR="00552ACD" w:rsidRDefault="00552ACD">
      <w:r>
        <w:t xml:space="preserve">d) Determinación del plazo máximo para dar respuesta a las actuaciones de investigación, que no podrá ser superior a tres meses a contar desde la recepción de la comunicación o, si no se remitió un acuse de recibo al informante, a tres meses a partir del vencimiento del plazo de siete días después de efectuarse la comunicación, salvo casos de especial complejidad que requieran una ampliación del plazo, en cuyo caso, este podrá extenderse hasta un máximo de otros tres meses adicionales. </w:t>
      </w:r>
    </w:p>
    <w:p w14:paraId="5741C060" w14:textId="77777777" w:rsidR="00552ACD" w:rsidRDefault="00552ACD">
      <w:r>
        <w:t>e) Previsión de la posibilidad de mantener la comunicación con el informante y, si se considera necesario, de solicitar a la persona informante información adicional.</w:t>
      </w:r>
    </w:p>
    <w:p w14:paraId="4F8AE52A" w14:textId="77777777" w:rsidR="00552ACD" w:rsidRDefault="00552ACD">
      <w:r>
        <w:t xml:space="preserve"> f) Establecimiento del derecho de la persona afectada a que se le informe de las acciones u omisiones que se le atribuyen, y a ser oída en cualquier momento. Dicha comunicación tendrá lugar en el tiempo y forma que se considere adecuado para garantizar el buen fin de la investigación. </w:t>
      </w:r>
    </w:p>
    <w:p w14:paraId="2428BD2B" w14:textId="4D252DA2" w:rsidR="00552ACD" w:rsidRDefault="00552ACD">
      <w:r>
        <w:t xml:space="preserve">g) Garantía de la confidencialidad cuando la comunicación sea remitida por canales de denuncia que no sean los establecidos o a miembros del personal no responsable de su tratamiento, al que se habrá formado en esta materia y advertido de la tipificación como infracción muy grave de su quebranto y, asimismo, el establecimiento de la obligación del receptor de la comunicación de remitirla inmediatamente al </w:t>
      </w:r>
      <w:r>
        <w:t>responsable</w:t>
      </w:r>
      <w:r>
        <w:t xml:space="preserve"> del Sistema. </w:t>
      </w:r>
    </w:p>
    <w:p w14:paraId="45360DAA" w14:textId="77777777" w:rsidR="00552ACD" w:rsidRDefault="00552ACD">
      <w:r>
        <w:t xml:space="preserve">h) Exigencia del respeto a la presunción de inocencia y al honor de las personas afectadas. </w:t>
      </w:r>
    </w:p>
    <w:p w14:paraId="1B45916D" w14:textId="70D2BB6A" w:rsidR="00552ACD" w:rsidRDefault="00552ACD">
      <w:r>
        <w:lastRenderedPageBreak/>
        <w:t xml:space="preserve">i) Respeto de las disposiciones sobre protección de datos personales </w:t>
      </w:r>
      <w:r>
        <w:t>de acuerdo con</w:t>
      </w:r>
      <w:r>
        <w:t xml:space="preserve"> lo previsto en el título VI.</w:t>
      </w:r>
    </w:p>
    <w:p w14:paraId="5D079BFD" w14:textId="45B7124B" w:rsidR="00552ACD" w:rsidRDefault="00552ACD">
      <w:r>
        <w:t xml:space="preserve"> j) Remisión de la información al Ministerio Fiscal con carácter inmediato cuando los hechos pudieran ser indiciariamente constitutivos de delito. En el caso de que los hechos afecten a los intereses financieros de la Unión Europea, se remitirá a la Fiscalía Europea.</w:t>
      </w:r>
    </w:p>
    <w:p w14:paraId="3D5AD200" w14:textId="77777777" w:rsidR="00552ACD" w:rsidRDefault="00552ACD"/>
    <w:p w14:paraId="2FA0F8F2" w14:textId="77777777" w:rsidR="00552ACD" w:rsidRPr="00552ACD" w:rsidRDefault="00552ACD">
      <w:pPr>
        <w:rPr>
          <w:b/>
          <w:bCs/>
        </w:rPr>
      </w:pPr>
      <w:r w:rsidRPr="00552ACD">
        <w:rPr>
          <w:b/>
          <w:bCs/>
        </w:rPr>
        <w:t xml:space="preserve">Artículo 10. Entidades obligadas del sector privado. </w:t>
      </w:r>
    </w:p>
    <w:p w14:paraId="0629B412" w14:textId="77777777" w:rsidR="00552ACD" w:rsidRDefault="00552ACD">
      <w:r>
        <w:t>1. Estarán obligadas a disponer un Sistema interno de información en los términos previstos en esta ley:</w:t>
      </w:r>
    </w:p>
    <w:p w14:paraId="7A513C3C" w14:textId="77777777" w:rsidR="00552ACD" w:rsidRDefault="00552ACD">
      <w:r>
        <w:t xml:space="preserve">a) Las personas físicas o jurídicas del sector privado que tengan contratados cincuenta o más trabajadores. </w:t>
      </w:r>
    </w:p>
    <w:p w14:paraId="7C67D89A" w14:textId="77777777" w:rsidR="00552ACD" w:rsidRDefault="00552ACD">
      <w:r>
        <w:t xml:space="preserve">b) Las personas jurídicas del sector privado que entren en el ámbito de aplicación de los actos de la Unión Europea en materia de servicios, productos y mercados financieros, prevención del blanqueo de capitales o de la financiación del terrorismo, seguridad del transporte y protección del medio ambiente a que se refieren las partes I.B y II del anexo de la Directiva (UE) 2019/1937, del Parlamento Europeo y del Consejo, de 23 de octubre de 2019, deberán disponer de un Sistema interno de información que se regulará por su normativa específica con independencia del número de trabajadores con que cuenten. En estos casos, esta ley </w:t>
      </w:r>
      <w:proofErr w:type="gramStart"/>
      <w:r>
        <w:t>será de aplicación</w:t>
      </w:r>
      <w:proofErr w:type="gramEnd"/>
      <w:r>
        <w:t xml:space="preserve"> en lo no regulado por su normativa específica. </w:t>
      </w:r>
    </w:p>
    <w:p w14:paraId="3C6CD78A" w14:textId="1980C73B" w:rsidR="00552ACD" w:rsidRDefault="00552ACD">
      <w:r>
        <w:t>Se considerarán incluidas en el párrafo anterior las personas jurídicas que, pese a no tener su domicilio en territorio nacional, desarrollen en España actividades a través de sucursales o agentes o mediante prestación de servicios sin establecimiento permanente.</w:t>
      </w:r>
    </w:p>
    <w:p w14:paraId="415454B2" w14:textId="77777777" w:rsidR="00552ACD" w:rsidRDefault="00552ACD">
      <w:r>
        <w:t xml:space="preserve">c) Los partidos políticos, los sindicatos, las organizaciones empresariales y las fundaciones creadas por unos y otros, siempre que reciban o gestionen fondos públicos. </w:t>
      </w:r>
    </w:p>
    <w:p w14:paraId="54066A07" w14:textId="351D550B" w:rsidR="00552ACD" w:rsidRDefault="00552ACD">
      <w:r>
        <w:t>2. Las personas jurídicas del sector privado que no estén vinculadas por la obligación impuesta en el apartado 1 podrán establecer su propio Sistema interno de información, que deberá cumplir, en todo caso, los requisitos previstos en esta ley.</w:t>
      </w:r>
    </w:p>
    <w:p w14:paraId="4CF5CDFC" w14:textId="77777777" w:rsidR="00552ACD" w:rsidRDefault="00552ACD"/>
    <w:sectPr w:rsidR="00552A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2E"/>
    <w:rsid w:val="00552ACD"/>
    <w:rsid w:val="0061392E"/>
    <w:rsid w:val="00743F9E"/>
    <w:rsid w:val="00771163"/>
    <w:rsid w:val="009F552C"/>
    <w:rsid w:val="00A7118C"/>
    <w:rsid w:val="00D57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B0F4"/>
  <w15:chartTrackingRefBased/>
  <w15:docId w15:val="{D4777346-BAF1-45B7-94F8-96F6E186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139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139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1392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1392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1392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1392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1392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1392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1392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392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1392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1392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1392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1392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1392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1392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1392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1392E"/>
    <w:rPr>
      <w:rFonts w:eastAsiaTheme="majorEastAsia" w:cstheme="majorBidi"/>
      <w:color w:val="272727" w:themeColor="text1" w:themeTint="D8"/>
    </w:rPr>
  </w:style>
  <w:style w:type="paragraph" w:styleId="Ttulo">
    <w:name w:val="Title"/>
    <w:basedOn w:val="Normal"/>
    <w:next w:val="Normal"/>
    <w:link w:val="TtuloCar"/>
    <w:uiPriority w:val="10"/>
    <w:qFormat/>
    <w:rsid w:val="006139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1392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1392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1392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1392E"/>
    <w:pPr>
      <w:spacing w:before="160"/>
      <w:jc w:val="center"/>
    </w:pPr>
    <w:rPr>
      <w:i/>
      <w:iCs/>
      <w:color w:val="404040" w:themeColor="text1" w:themeTint="BF"/>
    </w:rPr>
  </w:style>
  <w:style w:type="character" w:customStyle="1" w:styleId="CitaCar">
    <w:name w:val="Cita Car"/>
    <w:basedOn w:val="Fuentedeprrafopredeter"/>
    <w:link w:val="Cita"/>
    <w:uiPriority w:val="29"/>
    <w:rsid w:val="0061392E"/>
    <w:rPr>
      <w:i/>
      <w:iCs/>
      <w:color w:val="404040" w:themeColor="text1" w:themeTint="BF"/>
    </w:rPr>
  </w:style>
  <w:style w:type="paragraph" w:styleId="Prrafodelista">
    <w:name w:val="List Paragraph"/>
    <w:basedOn w:val="Normal"/>
    <w:uiPriority w:val="34"/>
    <w:qFormat/>
    <w:rsid w:val="0061392E"/>
    <w:pPr>
      <w:ind w:left="720"/>
      <w:contextualSpacing/>
    </w:pPr>
  </w:style>
  <w:style w:type="character" w:styleId="nfasisintenso">
    <w:name w:val="Intense Emphasis"/>
    <w:basedOn w:val="Fuentedeprrafopredeter"/>
    <w:uiPriority w:val="21"/>
    <w:qFormat/>
    <w:rsid w:val="0061392E"/>
    <w:rPr>
      <w:i/>
      <w:iCs/>
      <w:color w:val="0F4761" w:themeColor="accent1" w:themeShade="BF"/>
    </w:rPr>
  </w:style>
  <w:style w:type="paragraph" w:styleId="Citadestacada">
    <w:name w:val="Intense Quote"/>
    <w:basedOn w:val="Normal"/>
    <w:next w:val="Normal"/>
    <w:link w:val="CitadestacadaCar"/>
    <w:uiPriority w:val="30"/>
    <w:qFormat/>
    <w:rsid w:val="006139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1392E"/>
    <w:rPr>
      <w:i/>
      <w:iCs/>
      <w:color w:val="0F4761" w:themeColor="accent1" w:themeShade="BF"/>
    </w:rPr>
  </w:style>
  <w:style w:type="character" w:styleId="Referenciaintensa">
    <w:name w:val="Intense Reference"/>
    <w:basedOn w:val="Fuentedeprrafopredeter"/>
    <w:uiPriority w:val="32"/>
    <w:qFormat/>
    <w:rsid w:val="006139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4221</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dc:creator>
  <cp:keywords/>
  <dc:description/>
  <cp:lastModifiedBy>Office 2</cp:lastModifiedBy>
  <cp:revision>2</cp:revision>
  <dcterms:created xsi:type="dcterms:W3CDTF">2024-04-30T11:26:00Z</dcterms:created>
  <dcterms:modified xsi:type="dcterms:W3CDTF">2024-04-30T11:31:00Z</dcterms:modified>
</cp:coreProperties>
</file>